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7139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TW3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Annual General Mandate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71390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71390" w:rsidRPr="00471390">
        <w:rPr>
          <w:rFonts w:ascii="Arial" w:hAnsi="Arial" w:cs="Arial"/>
          <w:sz w:val="20"/>
          <w:szCs w:val="20"/>
        </w:rPr>
        <w:t>Central Pharmaceutical JSC No.3</w:t>
      </w:r>
      <w:r w:rsidR="0047139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471390">
        <w:rPr>
          <w:rFonts w:ascii="Arial" w:hAnsi="Arial" w:cs="Arial"/>
          <w:sz w:val="20"/>
          <w:szCs w:val="20"/>
        </w:rPr>
        <w:t>annual General Mandate 2020</w:t>
      </w:r>
      <w:r w:rsidR="000635A5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C7BC2" w:rsidRDefault="004713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operation r</w:t>
      </w:r>
      <w:r w:rsidRPr="00471390">
        <w:rPr>
          <w:rFonts w:ascii="Arial" w:hAnsi="Arial" w:cs="Arial"/>
          <w:sz w:val="20"/>
          <w:szCs w:val="20"/>
        </w:rPr>
        <w:t>eport of the Board of Directors in 2019, the term of 2015</w:t>
      </w:r>
      <w:r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 xml:space="preserve">2020 and the </w:t>
      </w:r>
      <w:r w:rsidR="00AC7BC2">
        <w:rPr>
          <w:rFonts w:ascii="Arial" w:hAnsi="Arial" w:cs="Arial"/>
          <w:sz w:val="20"/>
          <w:szCs w:val="20"/>
        </w:rPr>
        <w:t>operation plan for</w:t>
      </w:r>
      <w:r w:rsidRPr="00471390">
        <w:rPr>
          <w:rFonts w:ascii="Arial" w:hAnsi="Arial" w:cs="Arial"/>
          <w:sz w:val="20"/>
          <w:szCs w:val="20"/>
        </w:rPr>
        <w:t xml:space="preserve"> 2020, the term of 2020</w:t>
      </w:r>
      <w:r w:rsidR="00AC7BC2"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>-</w:t>
      </w:r>
      <w:r w:rsidR="00AC7BC2"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 xml:space="preserve">2025 </w:t>
      </w:r>
    </w:p>
    <w:p w:rsidR="00AC7BC2" w:rsidRDefault="004713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390">
        <w:rPr>
          <w:rFonts w:ascii="Arial" w:hAnsi="Arial" w:cs="Arial"/>
          <w:sz w:val="20"/>
          <w:szCs w:val="20"/>
        </w:rPr>
        <w:t xml:space="preserve">The </w:t>
      </w:r>
      <w:r w:rsidR="00AC7BC2">
        <w:rPr>
          <w:rFonts w:ascii="Arial" w:hAnsi="Arial" w:cs="Arial"/>
          <w:sz w:val="20"/>
          <w:szCs w:val="20"/>
        </w:rPr>
        <w:t>annual General Meeting of Shareholders</w:t>
      </w:r>
      <w:r w:rsidRPr="00471390">
        <w:rPr>
          <w:rFonts w:ascii="Arial" w:hAnsi="Arial" w:cs="Arial"/>
          <w:sz w:val="20"/>
          <w:szCs w:val="20"/>
        </w:rPr>
        <w:t xml:space="preserve"> approve</w:t>
      </w:r>
      <w:r w:rsidR="00AC7BC2">
        <w:rPr>
          <w:rFonts w:ascii="Arial" w:hAnsi="Arial" w:cs="Arial"/>
          <w:sz w:val="20"/>
          <w:szCs w:val="20"/>
        </w:rPr>
        <w:t>d</w:t>
      </w:r>
      <w:r w:rsidRPr="00471390">
        <w:rPr>
          <w:rFonts w:ascii="Arial" w:hAnsi="Arial" w:cs="Arial"/>
          <w:sz w:val="20"/>
          <w:szCs w:val="20"/>
        </w:rPr>
        <w:t xml:space="preserve"> the </w:t>
      </w:r>
      <w:r w:rsidR="00AC7BC2">
        <w:rPr>
          <w:rFonts w:ascii="Arial" w:hAnsi="Arial" w:cs="Arial"/>
          <w:sz w:val="20"/>
          <w:szCs w:val="20"/>
        </w:rPr>
        <w:t xml:space="preserve">2019 </w:t>
      </w:r>
      <w:r w:rsidRPr="00471390">
        <w:rPr>
          <w:rFonts w:ascii="Arial" w:hAnsi="Arial" w:cs="Arial"/>
          <w:sz w:val="20"/>
          <w:szCs w:val="20"/>
        </w:rPr>
        <w:t>operation report of</w:t>
      </w:r>
      <w:r w:rsidR="00AC7BC2">
        <w:rPr>
          <w:rFonts w:ascii="Arial" w:hAnsi="Arial" w:cs="Arial"/>
          <w:sz w:val="20"/>
          <w:szCs w:val="20"/>
        </w:rPr>
        <w:t xml:space="preserve"> the Board of Directors</w:t>
      </w:r>
      <w:r w:rsidRPr="00471390">
        <w:rPr>
          <w:rFonts w:ascii="Arial" w:hAnsi="Arial" w:cs="Arial"/>
          <w:sz w:val="20"/>
          <w:szCs w:val="20"/>
        </w:rPr>
        <w:t>, the term of 2015-2020 and the direction of operation in 2020, the term of 2020</w:t>
      </w:r>
      <w:r w:rsidR="00AC7BC2"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>-</w:t>
      </w:r>
      <w:r w:rsidR="00AC7BC2">
        <w:rPr>
          <w:rFonts w:ascii="Arial" w:hAnsi="Arial" w:cs="Arial"/>
          <w:sz w:val="20"/>
          <w:szCs w:val="20"/>
        </w:rPr>
        <w:t xml:space="preserve"> </w:t>
      </w:r>
      <w:r w:rsidRPr="00471390">
        <w:rPr>
          <w:rFonts w:ascii="Arial" w:hAnsi="Arial" w:cs="Arial"/>
          <w:sz w:val="20"/>
          <w:szCs w:val="20"/>
        </w:rPr>
        <w:t xml:space="preserve">2025 with 100% of the </w:t>
      </w:r>
      <w:r w:rsidR="00AC7BC2">
        <w:rPr>
          <w:rFonts w:ascii="Arial" w:hAnsi="Arial" w:cs="Arial"/>
          <w:sz w:val="20"/>
          <w:szCs w:val="20"/>
        </w:rPr>
        <w:t>voting shares</w:t>
      </w:r>
      <w:r w:rsidRPr="00471390">
        <w:rPr>
          <w:rFonts w:ascii="Arial" w:hAnsi="Arial" w:cs="Arial"/>
          <w:sz w:val="20"/>
          <w:szCs w:val="20"/>
        </w:rPr>
        <w:t xml:space="preserve">, specifically as follows: </w:t>
      </w:r>
    </w:p>
    <w:p w:rsidR="00AC7BC2" w:rsidRDefault="00AC7B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 w:rsidR="00471390" w:rsidRPr="00471390">
        <w:rPr>
          <w:rFonts w:ascii="Arial" w:hAnsi="Arial" w:cs="Arial"/>
          <w:sz w:val="20"/>
          <w:szCs w:val="20"/>
        </w:rPr>
        <w:t xml:space="preserve"> Operational results of the Board of Directors in 2019, tenure </w:t>
      </w:r>
      <w:r>
        <w:rPr>
          <w:rFonts w:ascii="Arial" w:hAnsi="Arial" w:cs="Arial"/>
          <w:sz w:val="20"/>
          <w:szCs w:val="20"/>
        </w:rPr>
        <w:t xml:space="preserve">of </w:t>
      </w:r>
      <w:r w:rsidR="00471390" w:rsidRPr="00471390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</w:t>
      </w:r>
      <w:r w:rsidR="00471390" w:rsidRPr="0047139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471390" w:rsidRPr="00471390">
        <w:rPr>
          <w:rFonts w:ascii="Arial" w:hAnsi="Arial" w:cs="Arial"/>
          <w:sz w:val="20"/>
          <w:szCs w:val="20"/>
        </w:rPr>
        <w:t xml:space="preserve">2020 </w:t>
      </w:r>
    </w:p>
    <w:p w:rsidR="00AC7BC2" w:rsidRDefault="0047139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1390">
        <w:rPr>
          <w:rFonts w:ascii="Arial" w:hAnsi="Arial" w:cs="Arial"/>
          <w:sz w:val="20"/>
          <w:szCs w:val="20"/>
        </w:rPr>
        <w:t xml:space="preserve">Some key targets achieved in 2019: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7BC2" w:rsidTr="00AC7BC2"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(VND million)</w:t>
            </w:r>
          </w:p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Realization (VND million)</w:t>
            </w:r>
          </w:p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Compared to the plan </w:t>
            </w:r>
          </w:p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 = (2) / (1)</w:t>
            </w:r>
          </w:p>
        </w:tc>
      </w:tr>
      <w:tr w:rsidR="00AC7BC2" w:rsidTr="00AC7BC2"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260.000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338.318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130.12%</w:t>
            </w:r>
          </w:p>
        </w:tc>
      </w:tr>
      <w:tr w:rsidR="00AC7BC2" w:rsidTr="00AC7BC2"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Retained profit after tax 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2,400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6.62%</w:t>
            </w:r>
          </w:p>
        </w:tc>
      </w:tr>
      <w:tr w:rsidR="00AC7BC2" w:rsidTr="00AC7BC2"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10%/ charter capital/ year</w:t>
            </w:r>
          </w:p>
        </w:tc>
        <w:tc>
          <w:tcPr>
            <w:tcW w:w="2394" w:type="dxa"/>
          </w:tcPr>
          <w:p w:rsidR="00AC7BC2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AC7BC2" w:rsidRDefault="00AC7BC2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BC2" w:rsidRDefault="00AC7B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2B1D" w:rsidRDefault="00932B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 results of term of 2015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106A8" w:rsidTr="00932B1D"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68" w:type="dxa"/>
          </w:tcPr>
          <w:p w:rsidR="002106A8" w:rsidRDefault="002106A8" w:rsidP="002106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TTBQ (%)</w:t>
            </w:r>
          </w:p>
        </w:tc>
      </w:tr>
      <w:tr w:rsidR="00932B1D" w:rsidTr="00932B1D"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(VND million)</w:t>
            </w:r>
          </w:p>
        </w:tc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263,888</w:t>
            </w:r>
          </w:p>
        </w:tc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320,872</w:t>
            </w:r>
          </w:p>
        </w:tc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245,088</w:t>
            </w:r>
          </w:p>
        </w:tc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256,004</w:t>
            </w:r>
          </w:p>
        </w:tc>
        <w:tc>
          <w:tcPr>
            <w:tcW w:w="1368" w:type="dxa"/>
          </w:tcPr>
          <w:p w:rsidR="00932B1D" w:rsidRDefault="002106A8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338,318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6.40%</w:t>
            </w:r>
          </w:p>
        </w:tc>
      </w:tr>
      <w:tr w:rsidR="00932B1D" w:rsidTr="00932B1D"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(VND million)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2,458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2,579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1,736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-37.95%</w:t>
            </w:r>
          </w:p>
        </w:tc>
      </w:tr>
      <w:tr w:rsidR="00932B1D" w:rsidTr="00932B1D"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(%)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68" w:type="dxa"/>
          </w:tcPr>
          <w:p w:rsidR="00932B1D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368" w:type="dxa"/>
          </w:tcPr>
          <w:p w:rsidR="00932B1D" w:rsidRDefault="00932B1D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B1D" w:rsidRDefault="00932B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817AA" w:rsidRDefault="003817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Operation plan for 2020, term of 2020 – 2025</w:t>
      </w:r>
    </w:p>
    <w:p w:rsidR="003817AA" w:rsidRDefault="003817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financial indicators of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18"/>
        <w:gridCol w:w="2393"/>
        <w:gridCol w:w="2393"/>
      </w:tblGrid>
      <w:tr w:rsidR="003817AA" w:rsidTr="003817AA">
        <w:tc>
          <w:tcPr>
            <w:tcW w:w="472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</w:p>
        </w:tc>
        <w:tc>
          <w:tcPr>
            <w:tcW w:w="4318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(VND million)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2019</w:t>
            </w:r>
          </w:p>
        </w:tc>
      </w:tr>
      <w:tr w:rsidR="003817AA" w:rsidTr="003817AA">
        <w:tc>
          <w:tcPr>
            <w:tcW w:w="472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8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307,000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91.5%</w:t>
            </w:r>
          </w:p>
        </w:tc>
      </w:tr>
      <w:tr w:rsidR="003817AA" w:rsidTr="003817AA">
        <w:tc>
          <w:tcPr>
            <w:tcW w:w="472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8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192.3%</w:t>
            </w:r>
          </w:p>
        </w:tc>
      </w:tr>
      <w:tr w:rsidR="003817AA" w:rsidTr="003817AA">
        <w:tc>
          <w:tcPr>
            <w:tcW w:w="472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8" w:type="dxa"/>
          </w:tcPr>
          <w:p w:rsidR="003817AA" w:rsidRDefault="003817AA" w:rsidP="003817A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Undistributed profit after tax 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352.2%</w:t>
            </w:r>
          </w:p>
        </w:tc>
      </w:tr>
      <w:tr w:rsidR="003817AA" w:rsidTr="003817AA">
        <w:tc>
          <w:tcPr>
            <w:tcW w:w="472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8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payment/ charter capital/ year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03%/ charter capital </w:t>
            </w:r>
          </w:p>
        </w:tc>
        <w:tc>
          <w:tcPr>
            <w:tcW w:w="2393" w:type="dxa"/>
          </w:tcPr>
          <w:p w:rsidR="003817AA" w:rsidRDefault="003817AA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17AA" w:rsidRDefault="003817A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3A97" w:rsidRDefault="00B83A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for term of 2020 – 2025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83A97" w:rsidTr="00B83A97"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2021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2022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2023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2024</w:t>
            </w:r>
          </w:p>
        </w:tc>
      </w:tr>
      <w:tr w:rsidR="00B83A97" w:rsidTr="00B83A97"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 (VND million)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307,000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322,400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338,500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355,400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373,200</w:t>
            </w:r>
          </w:p>
        </w:tc>
      </w:tr>
      <w:tr w:rsidR="00B83A97" w:rsidTr="00B83A97"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Profit before tax (VND million)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</w:t>
            </w:r>
          </w:p>
        </w:tc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2,700</w:t>
            </w:r>
          </w:p>
        </w:tc>
      </w:tr>
      <w:tr w:rsidR="00B83A97" w:rsidTr="00B83A97">
        <w:tc>
          <w:tcPr>
            <w:tcW w:w="1596" w:type="dxa"/>
          </w:tcPr>
          <w:p w:rsidR="00B83A97" w:rsidRDefault="00B83A97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Dividend payment (%)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596" w:type="dxa"/>
          </w:tcPr>
          <w:p w:rsidR="00B83A97" w:rsidRDefault="003178DE" w:rsidP="00B83A9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</w:tbl>
    <w:p w:rsidR="00B83A97" w:rsidRDefault="00B83A9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4D15" w:rsidRDefault="00A5063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50631">
        <w:rPr>
          <w:rFonts w:ascii="Arial" w:hAnsi="Arial" w:cs="Arial"/>
          <w:sz w:val="20"/>
          <w:szCs w:val="20"/>
        </w:rPr>
        <w:t>Article 2</w:t>
      </w:r>
      <w:r>
        <w:rPr>
          <w:rFonts w:ascii="Arial" w:hAnsi="Arial" w:cs="Arial"/>
          <w:sz w:val="20"/>
          <w:szCs w:val="20"/>
        </w:rPr>
        <w:t>:</w:t>
      </w:r>
      <w:r w:rsidRPr="00A50631">
        <w:rPr>
          <w:rFonts w:ascii="Arial" w:hAnsi="Arial" w:cs="Arial"/>
          <w:sz w:val="20"/>
          <w:szCs w:val="20"/>
        </w:rPr>
        <w:t xml:space="preserve"> Approving the </w:t>
      </w:r>
      <w:r w:rsidR="008B4D15">
        <w:rPr>
          <w:rFonts w:ascii="Arial" w:hAnsi="Arial" w:cs="Arial"/>
          <w:sz w:val="20"/>
          <w:szCs w:val="20"/>
        </w:rPr>
        <w:t>report on management and</w:t>
      </w:r>
      <w:r w:rsidRPr="00A50631">
        <w:rPr>
          <w:rFonts w:ascii="Arial" w:hAnsi="Arial" w:cs="Arial"/>
          <w:sz w:val="20"/>
          <w:szCs w:val="20"/>
        </w:rPr>
        <w:t xml:space="preserve"> production and business activities in 2019 an</w:t>
      </w:r>
      <w:r w:rsidR="008B4D15">
        <w:rPr>
          <w:rFonts w:ascii="Arial" w:hAnsi="Arial" w:cs="Arial"/>
          <w:sz w:val="20"/>
          <w:szCs w:val="20"/>
        </w:rPr>
        <w:t xml:space="preserve">d production and business plan for </w:t>
      </w:r>
      <w:r w:rsidRPr="00A50631">
        <w:rPr>
          <w:rFonts w:ascii="Arial" w:hAnsi="Arial" w:cs="Arial"/>
          <w:sz w:val="20"/>
          <w:szCs w:val="20"/>
        </w:rPr>
        <w:t>2020</w:t>
      </w:r>
    </w:p>
    <w:p w:rsidR="004A3355" w:rsidRDefault="008B4D15" w:rsidP="004A33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50631" w:rsidRPr="00A5063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  <w:r w:rsidR="00A50631" w:rsidRPr="00A50631">
        <w:rPr>
          <w:rFonts w:ascii="Arial" w:hAnsi="Arial" w:cs="Arial"/>
          <w:sz w:val="20"/>
          <w:szCs w:val="20"/>
        </w:rPr>
        <w:t xml:space="preserve">voted to approve the </w:t>
      </w:r>
      <w:r w:rsidR="004A3355">
        <w:rPr>
          <w:rFonts w:ascii="Arial" w:hAnsi="Arial" w:cs="Arial"/>
          <w:sz w:val="20"/>
          <w:szCs w:val="20"/>
        </w:rPr>
        <w:t>report on management and</w:t>
      </w:r>
      <w:r w:rsidR="004A3355" w:rsidRPr="00A50631">
        <w:rPr>
          <w:rFonts w:ascii="Arial" w:hAnsi="Arial" w:cs="Arial"/>
          <w:sz w:val="20"/>
          <w:szCs w:val="20"/>
        </w:rPr>
        <w:t xml:space="preserve"> production and business activities in 2019</w:t>
      </w:r>
      <w:r w:rsidR="004A3355">
        <w:rPr>
          <w:rFonts w:ascii="Arial" w:hAnsi="Arial" w:cs="Arial"/>
          <w:sz w:val="20"/>
          <w:szCs w:val="20"/>
        </w:rPr>
        <w:t xml:space="preserve"> of the Management Board</w:t>
      </w:r>
      <w:r w:rsidR="004A3355" w:rsidRPr="00A50631">
        <w:rPr>
          <w:rFonts w:ascii="Arial" w:hAnsi="Arial" w:cs="Arial"/>
          <w:sz w:val="20"/>
          <w:szCs w:val="20"/>
        </w:rPr>
        <w:t xml:space="preserve"> an</w:t>
      </w:r>
      <w:r w:rsidR="004A3355">
        <w:rPr>
          <w:rFonts w:ascii="Arial" w:hAnsi="Arial" w:cs="Arial"/>
          <w:sz w:val="20"/>
          <w:szCs w:val="20"/>
        </w:rPr>
        <w:t xml:space="preserve">d production and business plan for </w:t>
      </w:r>
      <w:r w:rsidR="004A3355" w:rsidRPr="00A50631">
        <w:rPr>
          <w:rFonts w:ascii="Arial" w:hAnsi="Arial" w:cs="Arial"/>
          <w:sz w:val="20"/>
          <w:szCs w:val="20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3360"/>
        <w:gridCol w:w="1914"/>
        <w:gridCol w:w="1914"/>
        <w:gridCol w:w="1915"/>
      </w:tblGrid>
      <w:tr w:rsidR="004A3355" w:rsidTr="00242FC6">
        <w:tc>
          <w:tcPr>
            <w:tcW w:w="473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60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1914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1914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1915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realization in 2019</w:t>
            </w:r>
          </w:p>
        </w:tc>
      </w:tr>
      <w:tr w:rsidR="004A3355" w:rsidTr="00242FC6">
        <w:tc>
          <w:tcPr>
            <w:tcW w:w="473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360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1914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307,000</w:t>
            </w:r>
          </w:p>
        </w:tc>
        <w:tc>
          <w:tcPr>
            <w:tcW w:w="1915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91%</w:t>
            </w:r>
          </w:p>
        </w:tc>
      </w:tr>
      <w:tr w:rsidR="00242FC6" w:rsidTr="00242FC6">
        <w:tc>
          <w:tcPr>
            <w:tcW w:w="473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360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of import goods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235,000</w:t>
            </w:r>
          </w:p>
        </w:tc>
        <w:tc>
          <w:tcPr>
            <w:tcW w:w="1915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85%</w:t>
            </w:r>
          </w:p>
        </w:tc>
      </w:tr>
      <w:tr w:rsidR="00242FC6" w:rsidTr="00242FC6">
        <w:tc>
          <w:tcPr>
            <w:tcW w:w="473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360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of manufactured products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72,000</w:t>
            </w:r>
          </w:p>
        </w:tc>
        <w:tc>
          <w:tcPr>
            <w:tcW w:w="1915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118%</w:t>
            </w:r>
          </w:p>
        </w:tc>
      </w:tr>
      <w:tr w:rsidR="00242FC6" w:rsidTr="00242FC6">
        <w:tc>
          <w:tcPr>
            <w:tcW w:w="473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360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915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192%</w:t>
            </w:r>
          </w:p>
        </w:tc>
      </w:tr>
      <w:tr w:rsidR="00242FC6" w:rsidTr="00242FC6">
        <w:tc>
          <w:tcPr>
            <w:tcW w:w="473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360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VND million</w:t>
            </w:r>
          </w:p>
        </w:tc>
        <w:tc>
          <w:tcPr>
            <w:tcW w:w="1914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1915" w:type="dxa"/>
          </w:tcPr>
          <w:p w:rsidR="00242FC6" w:rsidRDefault="00242FC6" w:rsidP="00242FC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352%</w:t>
            </w:r>
          </w:p>
        </w:tc>
      </w:tr>
      <w:tr w:rsidR="004A3355" w:rsidTr="00242FC6">
        <w:tc>
          <w:tcPr>
            <w:tcW w:w="473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3360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1914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4" w:type="dxa"/>
          </w:tcPr>
          <w:p w:rsidR="004A3355" w:rsidRDefault="00242FC6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4A3355" w:rsidRDefault="004A3355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BC2" w:rsidRDefault="00AC7B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FC6" w:rsidRDefault="00242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Pr="00242FC6">
        <w:rPr>
          <w:rFonts w:ascii="Arial" w:hAnsi="Arial" w:cs="Arial"/>
          <w:sz w:val="20"/>
          <w:szCs w:val="20"/>
        </w:rPr>
        <w:t xml:space="preserve">Approve the operation report of the Supervisory Board in 2019 </w:t>
      </w:r>
    </w:p>
    <w:p w:rsidR="00242FC6" w:rsidRDefault="00242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FC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annual General Meeting of Shareholders v</w:t>
      </w:r>
      <w:r w:rsidRPr="00242FC6">
        <w:rPr>
          <w:rFonts w:ascii="Arial" w:hAnsi="Arial" w:cs="Arial"/>
          <w:sz w:val="20"/>
          <w:szCs w:val="20"/>
        </w:rPr>
        <w:t xml:space="preserve">oted to approve the operation report of the Supervisory Board in 2019 </w:t>
      </w:r>
    </w:p>
    <w:p w:rsidR="00C7313A" w:rsidRDefault="00242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FC6">
        <w:rPr>
          <w:rFonts w:ascii="Arial" w:hAnsi="Arial" w:cs="Arial"/>
          <w:sz w:val="20"/>
          <w:szCs w:val="20"/>
        </w:rPr>
        <w:lastRenderedPageBreak/>
        <w:t>Article 4</w:t>
      </w:r>
      <w:r>
        <w:rPr>
          <w:rFonts w:ascii="Arial" w:hAnsi="Arial" w:cs="Arial"/>
          <w:sz w:val="20"/>
          <w:szCs w:val="20"/>
        </w:rPr>
        <w:t>:</w:t>
      </w:r>
      <w:r w:rsidRPr="00242FC6">
        <w:rPr>
          <w:rFonts w:ascii="Arial" w:hAnsi="Arial" w:cs="Arial"/>
          <w:sz w:val="20"/>
          <w:szCs w:val="20"/>
        </w:rPr>
        <w:t xml:space="preserve"> Approve the</w:t>
      </w:r>
      <w:r w:rsidR="00C7313A">
        <w:rPr>
          <w:rFonts w:ascii="Arial" w:hAnsi="Arial" w:cs="Arial"/>
          <w:sz w:val="20"/>
          <w:szCs w:val="20"/>
        </w:rPr>
        <w:t xml:space="preserve"> statement on</w:t>
      </w:r>
      <w:r w:rsidRPr="00242FC6">
        <w:rPr>
          <w:rFonts w:ascii="Arial" w:hAnsi="Arial" w:cs="Arial"/>
          <w:sz w:val="20"/>
          <w:szCs w:val="20"/>
        </w:rPr>
        <w:t xml:space="preserve"> audited financial statement</w:t>
      </w:r>
      <w:r w:rsidR="00C7313A">
        <w:rPr>
          <w:rFonts w:ascii="Arial" w:hAnsi="Arial" w:cs="Arial"/>
          <w:sz w:val="20"/>
          <w:szCs w:val="20"/>
        </w:rPr>
        <w:t xml:space="preserve"> of</w:t>
      </w:r>
      <w:r w:rsidRPr="00242FC6">
        <w:rPr>
          <w:rFonts w:ascii="Arial" w:hAnsi="Arial" w:cs="Arial"/>
          <w:sz w:val="20"/>
          <w:szCs w:val="20"/>
        </w:rPr>
        <w:t xml:space="preserve"> </w:t>
      </w:r>
      <w:r w:rsidR="00C7313A" w:rsidRPr="00242FC6">
        <w:rPr>
          <w:rFonts w:ascii="Arial" w:hAnsi="Arial" w:cs="Arial"/>
          <w:sz w:val="20"/>
          <w:szCs w:val="20"/>
        </w:rPr>
        <w:t>2019</w:t>
      </w:r>
    </w:p>
    <w:p w:rsidR="00C7313A" w:rsidRDefault="00242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FC6">
        <w:rPr>
          <w:rFonts w:ascii="Arial" w:hAnsi="Arial" w:cs="Arial"/>
          <w:sz w:val="20"/>
          <w:szCs w:val="20"/>
        </w:rPr>
        <w:t xml:space="preserve">The </w:t>
      </w:r>
      <w:r w:rsidR="00C7313A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242FC6">
        <w:rPr>
          <w:rFonts w:ascii="Arial" w:hAnsi="Arial" w:cs="Arial"/>
          <w:sz w:val="20"/>
          <w:szCs w:val="20"/>
        </w:rPr>
        <w:t>voted to approve the audited financial statements</w:t>
      </w:r>
      <w:r w:rsidR="00C7313A">
        <w:rPr>
          <w:rFonts w:ascii="Arial" w:hAnsi="Arial" w:cs="Arial"/>
          <w:sz w:val="20"/>
          <w:szCs w:val="20"/>
        </w:rPr>
        <w:t xml:space="preserve"> of</w:t>
      </w:r>
      <w:r w:rsidRPr="00242FC6">
        <w:rPr>
          <w:rFonts w:ascii="Arial" w:hAnsi="Arial" w:cs="Arial"/>
          <w:sz w:val="20"/>
          <w:szCs w:val="20"/>
        </w:rPr>
        <w:t xml:space="preserve"> 2019 </w:t>
      </w:r>
    </w:p>
    <w:p w:rsidR="00C7313A" w:rsidRDefault="00C731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5:</w:t>
      </w:r>
      <w:r w:rsidR="00242FC6" w:rsidRPr="00242FC6">
        <w:rPr>
          <w:rFonts w:ascii="Arial" w:hAnsi="Arial" w:cs="Arial"/>
          <w:sz w:val="20"/>
          <w:szCs w:val="20"/>
        </w:rPr>
        <w:t xml:space="preserve"> Approving the </w:t>
      </w:r>
      <w:r>
        <w:rPr>
          <w:rFonts w:ascii="Arial" w:hAnsi="Arial" w:cs="Arial"/>
          <w:sz w:val="20"/>
          <w:szCs w:val="20"/>
        </w:rPr>
        <w:t xml:space="preserve">statement on </w:t>
      </w:r>
      <w:r w:rsidR="00242FC6" w:rsidRPr="00242FC6">
        <w:rPr>
          <w:rFonts w:ascii="Arial" w:hAnsi="Arial" w:cs="Arial"/>
          <w:sz w:val="20"/>
          <w:szCs w:val="20"/>
        </w:rPr>
        <w:t>expecte</w:t>
      </w:r>
      <w:r>
        <w:rPr>
          <w:rFonts w:ascii="Arial" w:hAnsi="Arial" w:cs="Arial"/>
          <w:sz w:val="20"/>
          <w:szCs w:val="20"/>
        </w:rPr>
        <w:t>d profit distribution for 2019; a</w:t>
      </w:r>
      <w:r w:rsidR="00242FC6" w:rsidRPr="00242FC6">
        <w:rPr>
          <w:rFonts w:ascii="Arial" w:hAnsi="Arial" w:cs="Arial"/>
          <w:sz w:val="20"/>
          <w:szCs w:val="20"/>
        </w:rPr>
        <w:t xml:space="preserve"> number of financial targets for 2020 an</w:t>
      </w:r>
      <w:r>
        <w:rPr>
          <w:rFonts w:ascii="Arial" w:hAnsi="Arial" w:cs="Arial"/>
          <w:sz w:val="20"/>
          <w:szCs w:val="20"/>
        </w:rPr>
        <w:t>d a plan for dividend payment for</w:t>
      </w:r>
      <w:r w:rsidR="00242FC6" w:rsidRPr="00242FC6">
        <w:rPr>
          <w:rFonts w:ascii="Arial" w:hAnsi="Arial" w:cs="Arial"/>
          <w:sz w:val="20"/>
          <w:szCs w:val="20"/>
        </w:rPr>
        <w:t xml:space="preserve"> 2019 </w:t>
      </w:r>
    </w:p>
    <w:p w:rsidR="00242FC6" w:rsidRDefault="00242FC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42FC6">
        <w:rPr>
          <w:rFonts w:ascii="Arial" w:hAnsi="Arial" w:cs="Arial"/>
          <w:sz w:val="20"/>
          <w:szCs w:val="20"/>
        </w:rPr>
        <w:t>The meeting voted t</w:t>
      </w:r>
      <w:r w:rsidR="009C2E6C">
        <w:rPr>
          <w:rFonts w:ascii="Arial" w:hAnsi="Arial" w:cs="Arial"/>
          <w:sz w:val="20"/>
          <w:szCs w:val="20"/>
        </w:rPr>
        <w:t>o approve profit distribution for</w:t>
      </w:r>
      <w:r w:rsidRPr="00242FC6">
        <w:rPr>
          <w:rFonts w:ascii="Arial" w:hAnsi="Arial" w:cs="Arial"/>
          <w:sz w:val="20"/>
          <w:szCs w:val="20"/>
        </w:rPr>
        <w:t xml:space="preserve"> 2019, a number of financial targets for 2020 and a plan for</w:t>
      </w:r>
      <w:r w:rsidR="009C2E6C">
        <w:rPr>
          <w:rFonts w:ascii="Arial" w:hAnsi="Arial" w:cs="Arial"/>
          <w:sz w:val="20"/>
          <w:szCs w:val="20"/>
        </w:rPr>
        <w:t xml:space="preserve"> 2019</w:t>
      </w:r>
      <w:r w:rsidRPr="00242FC6">
        <w:rPr>
          <w:rFonts w:ascii="Arial" w:hAnsi="Arial" w:cs="Arial"/>
          <w:sz w:val="20"/>
          <w:szCs w:val="20"/>
        </w:rPr>
        <w:t xml:space="preserve"> dividend payment </w:t>
      </w:r>
      <w:r w:rsidR="009C2E6C">
        <w:rPr>
          <w:rFonts w:ascii="Arial" w:hAnsi="Arial" w:cs="Arial"/>
          <w:sz w:val="20"/>
          <w:szCs w:val="20"/>
        </w:rPr>
        <w:t>a</w:t>
      </w:r>
      <w:r w:rsidRPr="00242FC6">
        <w:rPr>
          <w:rFonts w:ascii="Arial" w:hAnsi="Arial" w:cs="Arial"/>
          <w:sz w:val="20"/>
          <w:szCs w:val="20"/>
        </w:rPr>
        <w:t>s follows:</w:t>
      </w:r>
    </w:p>
    <w:p w:rsidR="009C2E6C" w:rsidRDefault="009C2E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Expected distribution of profit for</w:t>
      </w:r>
      <w:r w:rsidRPr="009C2E6C">
        <w:rPr>
          <w:rFonts w:ascii="Arial" w:hAnsi="Arial" w:cs="Arial"/>
          <w:sz w:val="20"/>
          <w:szCs w:val="20"/>
        </w:rPr>
        <w:t xml:space="preserve"> 2019 </w:t>
      </w:r>
    </w:p>
    <w:p w:rsidR="00A544CF" w:rsidRDefault="009C2E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E6C">
        <w:rPr>
          <w:rFonts w:ascii="Arial" w:hAnsi="Arial" w:cs="Arial"/>
          <w:sz w:val="20"/>
          <w:szCs w:val="20"/>
        </w:rPr>
        <w:t>Accor</w:t>
      </w:r>
      <w:r w:rsidR="00DD47E8">
        <w:rPr>
          <w:rFonts w:ascii="Arial" w:hAnsi="Arial" w:cs="Arial"/>
          <w:sz w:val="20"/>
          <w:szCs w:val="20"/>
        </w:rPr>
        <w:t>ding to the financial statement</w:t>
      </w:r>
      <w:r w:rsidRPr="009C2E6C">
        <w:rPr>
          <w:rFonts w:ascii="Arial" w:hAnsi="Arial" w:cs="Arial"/>
          <w:sz w:val="20"/>
          <w:szCs w:val="20"/>
        </w:rPr>
        <w:t xml:space="preserve"> of 2019, the profit after tax in 2019 is very small, so the remaining profit after tax will be carried over to the fiscal year </w:t>
      </w:r>
      <w:r w:rsidR="00A544CF">
        <w:rPr>
          <w:rFonts w:ascii="Arial" w:hAnsi="Arial" w:cs="Arial"/>
          <w:sz w:val="20"/>
          <w:szCs w:val="20"/>
        </w:rPr>
        <w:t>of 2020</w:t>
      </w:r>
    </w:p>
    <w:p w:rsidR="00A544CF" w:rsidRDefault="00A54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on </w:t>
      </w:r>
      <w:r w:rsidR="009C2E6C" w:rsidRPr="009C2E6C"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 xml:space="preserve"> dividend payment</w:t>
      </w:r>
      <w:r w:rsidR="009C2E6C" w:rsidRPr="009C2E6C">
        <w:rPr>
          <w:rFonts w:ascii="Arial" w:hAnsi="Arial" w:cs="Arial"/>
          <w:sz w:val="20"/>
          <w:szCs w:val="20"/>
        </w:rPr>
        <w:t xml:space="preserve">: </w:t>
      </w:r>
    </w:p>
    <w:p w:rsidR="00A544CF" w:rsidRDefault="009C2E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E6C">
        <w:rPr>
          <w:rFonts w:ascii="Arial" w:hAnsi="Arial" w:cs="Arial"/>
          <w:sz w:val="20"/>
          <w:szCs w:val="20"/>
        </w:rPr>
        <w:t xml:space="preserve">The </w:t>
      </w:r>
      <w:r w:rsidR="00A544CF">
        <w:rPr>
          <w:rFonts w:ascii="Arial" w:hAnsi="Arial" w:cs="Arial"/>
          <w:sz w:val="20"/>
          <w:szCs w:val="20"/>
        </w:rPr>
        <w:t>annual General Meeting of Shareholders</w:t>
      </w:r>
      <w:r w:rsidRPr="009C2E6C">
        <w:rPr>
          <w:rFonts w:ascii="Arial" w:hAnsi="Arial" w:cs="Arial"/>
          <w:sz w:val="20"/>
          <w:szCs w:val="20"/>
        </w:rPr>
        <w:t xml:space="preserve"> voted </w:t>
      </w:r>
      <w:r w:rsidR="00A544CF">
        <w:rPr>
          <w:rFonts w:ascii="Arial" w:hAnsi="Arial" w:cs="Arial"/>
          <w:sz w:val="20"/>
          <w:szCs w:val="20"/>
        </w:rPr>
        <w:t xml:space="preserve">for no 2019 dividend payment </w:t>
      </w:r>
    </w:p>
    <w:p w:rsidR="00A544CF" w:rsidRDefault="00A54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C2E6C" w:rsidRPr="009C2E6C">
        <w:rPr>
          <w:rFonts w:ascii="Arial" w:hAnsi="Arial" w:cs="Arial"/>
          <w:sz w:val="20"/>
          <w:szCs w:val="20"/>
        </w:rPr>
        <w:t xml:space="preserve"> Some financial targets in 2020 </w:t>
      </w:r>
    </w:p>
    <w:p w:rsidR="00A544CF" w:rsidRDefault="009C2E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C2E6C">
        <w:rPr>
          <w:rFonts w:ascii="Arial" w:hAnsi="Arial" w:cs="Arial"/>
          <w:sz w:val="20"/>
          <w:szCs w:val="20"/>
        </w:rPr>
        <w:t xml:space="preserve">Unit: </w:t>
      </w:r>
      <w:r w:rsidR="00A544CF" w:rsidRPr="009C2E6C">
        <w:rPr>
          <w:rFonts w:ascii="Arial" w:hAnsi="Arial" w:cs="Arial"/>
          <w:sz w:val="20"/>
          <w:szCs w:val="20"/>
        </w:rPr>
        <w:t>VND</w:t>
      </w:r>
      <w:r w:rsidR="00A544CF" w:rsidRPr="009C2E6C">
        <w:rPr>
          <w:rFonts w:ascii="Arial" w:hAnsi="Arial" w:cs="Arial"/>
          <w:sz w:val="20"/>
          <w:szCs w:val="20"/>
        </w:rPr>
        <w:t xml:space="preserve"> </w:t>
      </w:r>
      <w:r w:rsidR="00A544CF">
        <w:rPr>
          <w:rFonts w:ascii="Arial" w:hAnsi="Arial" w:cs="Arial"/>
          <w:sz w:val="20"/>
          <w:szCs w:val="20"/>
        </w:rPr>
        <w:t>m</w:t>
      </w:r>
      <w:r w:rsidRPr="009C2E6C">
        <w:rPr>
          <w:rFonts w:ascii="Arial" w:hAnsi="Arial" w:cs="Arial"/>
          <w:sz w:val="20"/>
          <w:szCs w:val="20"/>
        </w:rPr>
        <w:t xml:space="preserve">illion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050"/>
        <w:gridCol w:w="2394"/>
        <w:gridCol w:w="2394"/>
      </w:tblGrid>
      <w:tr w:rsidR="00A544CF" w:rsidTr="0071724B">
        <w:tc>
          <w:tcPr>
            <w:tcW w:w="738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050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2020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Compared to 2019</w:t>
            </w:r>
          </w:p>
        </w:tc>
      </w:tr>
      <w:tr w:rsidR="00A544CF" w:rsidTr="0071724B">
        <w:tc>
          <w:tcPr>
            <w:tcW w:w="738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revenue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307,000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91.5%</w:t>
            </w:r>
          </w:p>
        </w:tc>
      </w:tr>
      <w:tr w:rsidR="00A544CF" w:rsidTr="0071724B">
        <w:tc>
          <w:tcPr>
            <w:tcW w:w="738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before tax 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192.3%</w:t>
            </w:r>
          </w:p>
        </w:tc>
      </w:tr>
      <w:tr w:rsidR="00A544CF" w:rsidTr="0071724B">
        <w:tc>
          <w:tcPr>
            <w:tcW w:w="738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Profit after tax 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352.2%</w:t>
            </w:r>
          </w:p>
        </w:tc>
      </w:tr>
      <w:tr w:rsidR="00A544CF" w:rsidTr="0071724B">
        <w:tc>
          <w:tcPr>
            <w:tcW w:w="738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Dividend payment </w:t>
            </w:r>
          </w:p>
        </w:tc>
        <w:tc>
          <w:tcPr>
            <w:tcW w:w="2394" w:type="dxa"/>
          </w:tcPr>
          <w:p w:rsidR="00A544CF" w:rsidRDefault="0071724B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3%/ charter capital </w:t>
            </w:r>
          </w:p>
        </w:tc>
        <w:tc>
          <w:tcPr>
            <w:tcW w:w="2394" w:type="dxa"/>
          </w:tcPr>
          <w:p w:rsidR="00A544CF" w:rsidRDefault="00A544C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44CF" w:rsidRDefault="00A54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4CD5" w:rsidRDefault="00567F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F3C">
        <w:rPr>
          <w:rFonts w:ascii="Arial" w:hAnsi="Arial" w:cs="Arial"/>
          <w:sz w:val="20"/>
          <w:szCs w:val="20"/>
        </w:rPr>
        <w:t>Article 6</w:t>
      </w:r>
      <w:r>
        <w:rPr>
          <w:rFonts w:ascii="Arial" w:hAnsi="Arial" w:cs="Arial"/>
          <w:sz w:val="20"/>
          <w:szCs w:val="20"/>
        </w:rPr>
        <w:t>:</w:t>
      </w:r>
      <w:r w:rsidR="00484CD5">
        <w:rPr>
          <w:rFonts w:ascii="Arial" w:hAnsi="Arial" w:cs="Arial"/>
          <w:sz w:val="20"/>
          <w:szCs w:val="20"/>
        </w:rPr>
        <w:t xml:space="preserve"> Approve the statement</w:t>
      </w:r>
      <w:r w:rsidRPr="00567F3C">
        <w:rPr>
          <w:rFonts w:ascii="Arial" w:hAnsi="Arial" w:cs="Arial"/>
          <w:sz w:val="20"/>
          <w:szCs w:val="20"/>
        </w:rPr>
        <w:t xml:space="preserve"> on remuneration, salary of the Board of Directors, the Board of Supervisors, the General Director and the company secretary in 2019 and the plan for </w:t>
      </w:r>
      <w:r w:rsidR="00484CD5">
        <w:rPr>
          <w:rFonts w:ascii="Arial" w:hAnsi="Arial" w:cs="Arial"/>
          <w:sz w:val="20"/>
          <w:szCs w:val="20"/>
        </w:rPr>
        <w:t>remuneration and salary</w:t>
      </w:r>
      <w:r w:rsidRPr="00567F3C">
        <w:rPr>
          <w:rFonts w:ascii="Arial" w:hAnsi="Arial" w:cs="Arial"/>
          <w:sz w:val="20"/>
          <w:szCs w:val="20"/>
        </w:rPr>
        <w:t xml:space="preserve"> of the Board of Directors, the Board of Supervisors, the General Direc</w:t>
      </w:r>
      <w:r w:rsidR="00484CD5">
        <w:rPr>
          <w:rFonts w:ascii="Arial" w:hAnsi="Arial" w:cs="Arial"/>
          <w:sz w:val="20"/>
          <w:szCs w:val="20"/>
        </w:rPr>
        <w:t>tor and the company secretary in</w:t>
      </w:r>
      <w:r w:rsidRPr="00567F3C">
        <w:rPr>
          <w:rFonts w:ascii="Arial" w:hAnsi="Arial" w:cs="Arial"/>
          <w:sz w:val="20"/>
          <w:szCs w:val="20"/>
        </w:rPr>
        <w:t xml:space="preserve"> 2020</w:t>
      </w:r>
    </w:p>
    <w:p w:rsidR="00FA7894" w:rsidRDefault="00484CD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567F3C" w:rsidRPr="00567F3C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="00567F3C" w:rsidRPr="00567F3C">
        <w:rPr>
          <w:rFonts w:ascii="Arial" w:hAnsi="Arial" w:cs="Arial"/>
          <w:sz w:val="20"/>
          <w:szCs w:val="20"/>
        </w:rPr>
        <w:t xml:space="preserve"> voted to approve the report on remuneration, salary of the Board of Directors, the Board of Supervisors, the General Director and the company secretary in </w:t>
      </w:r>
      <w:r w:rsidR="00FA7894">
        <w:rPr>
          <w:rFonts w:ascii="Arial" w:hAnsi="Arial" w:cs="Arial"/>
          <w:sz w:val="20"/>
          <w:szCs w:val="20"/>
        </w:rPr>
        <w:t>2019 and the plan for payment for</w:t>
      </w:r>
      <w:r w:rsidR="00567F3C" w:rsidRPr="00567F3C">
        <w:rPr>
          <w:rFonts w:ascii="Arial" w:hAnsi="Arial" w:cs="Arial"/>
          <w:sz w:val="20"/>
          <w:szCs w:val="20"/>
        </w:rPr>
        <w:t xml:space="preserve"> the remuneration, </w:t>
      </w:r>
      <w:r w:rsidR="00FA7894">
        <w:rPr>
          <w:rFonts w:ascii="Arial" w:hAnsi="Arial" w:cs="Arial"/>
          <w:sz w:val="20"/>
          <w:szCs w:val="20"/>
        </w:rPr>
        <w:t xml:space="preserve">salary to </w:t>
      </w:r>
      <w:r w:rsidR="00567F3C" w:rsidRPr="00567F3C">
        <w:rPr>
          <w:rFonts w:ascii="Arial" w:hAnsi="Arial" w:cs="Arial"/>
          <w:sz w:val="20"/>
          <w:szCs w:val="20"/>
        </w:rPr>
        <w:t>the Board of Directors, the Board of Supervisors, the Gene</w:t>
      </w:r>
      <w:r w:rsidR="00FA7894">
        <w:rPr>
          <w:rFonts w:ascii="Arial" w:hAnsi="Arial" w:cs="Arial"/>
          <w:sz w:val="20"/>
          <w:szCs w:val="20"/>
        </w:rPr>
        <w:t>ral Director and the c</w:t>
      </w:r>
      <w:r w:rsidR="00FA7894" w:rsidRPr="00567F3C">
        <w:rPr>
          <w:rFonts w:ascii="Arial" w:hAnsi="Arial" w:cs="Arial"/>
          <w:sz w:val="20"/>
          <w:szCs w:val="20"/>
        </w:rPr>
        <w:t>ompany</w:t>
      </w:r>
      <w:r w:rsidR="00FA7894">
        <w:rPr>
          <w:rFonts w:ascii="Arial" w:hAnsi="Arial" w:cs="Arial"/>
          <w:sz w:val="20"/>
          <w:szCs w:val="20"/>
        </w:rPr>
        <w:t xml:space="preserve"> secretary</w:t>
      </w:r>
      <w:r w:rsidR="00567F3C" w:rsidRPr="00567F3C">
        <w:rPr>
          <w:rFonts w:ascii="Arial" w:hAnsi="Arial" w:cs="Arial"/>
          <w:sz w:val="20"/>
          <w:szCs w:val="20"/>
        </w:rPr>
        <w:t xml:space="preserve"> in 2020 as follows: </w:t>
      </w:r>
    </w:p>
    <w:p w:rsidR="002C32A5" w:rsidRDefault="00FA789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</w:t>
      </w:r>
      <w:r w:rsidR="00567F3C" w:rsidRPr="00567F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Report on </w:t>
      </w:r>
      <w:r w:rsidR="00D96E4B">
        <w:rPr>
          <w:rFonts w:ascii="Arial" w:hAnsi="Arial" w:cs="Arial"/>
          <w:sz w:val="20"/>
          <w:szCs w:val="20"/>
        </w:rPr>
        <w:t xml:space="preserve">payment for salary, remuneration to the Board of Directors, the </w:t>
      </w:r>
      <w:r w:rsidR="00567F3C" w:rsidRPr="00567F3C">
        <w:rPr>
          <w:rFonts w:ascii="Arial" w:hAnsi="Arial" w:cs="Arial"/>
          <w:sz w:val="20"/>
          <w:szCs w:val="20"/>
        </w:rPr>
        <w:t>Board</w:t>
      </w:r>
      <w:r w:rsidR="002C32A5">
        <w:rPr>
          <w:rFonts w:ascii="Arial" w:hAnsi="Arial" w:cs="Arial"/>
          <w:sz w:val="20"/>
          <w:szCs w:val="20"/>
        </w:rPr>
        <w:t xml:space="preserve"> of Supervisors</w:t>
      </w:r>
      <w:r w:rsidR="00567F3C" w:rsidRPr="00567F3C">
        <w:rPr>
          <w:rFonts w:ascii="Arial" w:hAnsi="Arial" w:cs="Arial"/>
          <w:sz w:val="20"/>
          <w:szCs w:val="20"/>
        </w:rPr>
        <w:t xml:space="preserve">, the General Director and the company secretary </w:t>
      </w:r>
      <w:r w:rsidR="00D96E4B">
        <w:rPr>
          <w:rFonts w:ascii="Arial" w:hAnsi="Arial" w:cs="Arial"/>
          <w:sz w:val="20"/>
          <w:szCs w:val="20"/>
        </w:rPr>
        <w:t>for 2019</w:t>
      </w:r>
    </w:p>
    <w:p w:rsidR="0071724B" w:rsidRDefault="00567F3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7F3C">
        <w:rPr>
          <w:rFonts w:ascii="Arial" w:hAnsi="Arial" w:cs="Arial"/>
          <w:sz w:val="20"/>
          <w:szCs w:val="20"/>
        </w:rPr>
        <w:lastRenderedPageBreak/>
        <w:t xml:space="preserve">The General Director and the company secretary complied with the content of the </w:t>
      </w:r>
      <w:r w:rsidR="002C32A5">
        <w:rPr>
          <w:rFonts w:ascii="Arial" w:hAnsi="Arial" w:cs="Arial"/>
          <w:sz w:val="20"/>
          <w:szCs w:val="20"/>
        </w:rPr>
        <w:t xml:space="preserve">2019 annual General Mandate </w:t>
      </w:r>
    </w:p>
    <w:p w:rsidR="002C32A5" w:rsidRDefault="001F0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 Decision on remuneration, salary payment to the Board of Directors, members of the Board of Supervisors, General Director and company secretary in 2020</w:t>
      </w:r>
    </w:p>
    <w:p w:rsidR="001F031F" w:rsidRDefault="001F0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Remuneration, salary for members of the Board of Directors, </w:t>
      </w:r>
      <w:r>
        <w:rPr>
          <w:rFonts w:ascii="Arial" w:hAnsi="Arial" w:cs="Arial"/>
          <w:sz w:val="20"/>
          <w:szCs w:val="20"/>
        </w:rPr>
        <w:t>Board of Supervisors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"/>
        <w:gridCol w:w="4396"/>
        <w:gridCol w:w="2356"/>
        <w:gridCol w:w="2352"/>
      </w:tblGrid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(VND/ person/ month)</w:t>
            </w: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Part-time </w:t>
            </w:r>
            <w:r>
              <w:rPr>
                <w:rFonts w:ascii="Arial" w:hAnsi="Arial" w:cs="Arial"/>
                <w:sz w:val="20"/>
                <w:szCs w:val="20"/>
              </w:rPr>
              <w:t>(VND/ person/ month)</w:t>
            </w:r>
          </w:p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Board of Directors 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Chair of the Board of Directors 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40,000,000</w:t>
            </w: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6,000,000</w:t>
            </w: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Board of Directors 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 of Supervisors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the </w:t>
            </w:r>
            <w:r>
              <w:rPr>
                <w:rFonts w:ascii="Arial" w:hAnsi="Arial" w:cs="Arial"/>
                <w:sz w:val="20"/>
                <w:szCs w:val="20"/>
              </w:rPr>
              <w:t>Board of Supervisors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15,000,000</w:t>
            </w: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4,000,000</w:t>
            </w:r>
          </w:p>
        </w:tc>
      </w:tr>
      <w:tr w:rsidR="001F031F" w:rsidTr="001F031F">
        <w:tc>
          <w:tcPr>
            <w:tcW w:w="47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the </w:t>
            </w:r>
            <w:r>
              <w:rPr>
                <w:rFonts w:ascii="Arial" w:hAnsi="Arial" w:cs="Arial"/>
                <w:sz w:val="20"/>
                <w:szCs w:val="20"/>
              </w:rPr>
              <w:t>Board of Supervisors</w:t>
            </w:r>
          </w:p>
        </w:tc>
        <w:tc>
          <w:tcPr>
            <w:tcW w:w="2356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1F031F" w:rsidRDefault="001F031F" w:rsidP="00F86F5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2,000,000</w:t>
            </w:r>
          </w:p>
        </w:tc>
      </w:tr>
    </w:tbl>
    <w:p w:rsidR="001F031F" w:rsidRDefault="001F0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F031F" w:rsidRDefault="001F031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Salary of the General Director: VND 35,000,000/ month</w:t>
      </w:r>
    </w:p>
    <w:p w:rsidR="00B1193E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Remuneration for the company secretary:</w:t>
      </w:r>
      <w:r w:rsidRPr="00B119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,000,000/ month</w:t>
      </w:r>
    </w:p>
    <w:p w:rsidR="00461E4D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Remuneration, salary of members of the Board of Directors, members of the </w:t>
      </w:r>
      <w:r>
        <w:rPr>
          <w:rFonts w:ascii="Arial" w:hAnsi="Arial" w:cs="Arial"/>
          <w:sz w:val="20"/>
          <w:szCs w:val="20"/>
        </w:rPr>
        <w:t>Board of Supervisors</w:t>
      </w:r>
      <w:r w:rsidRPr="00B1193E">
        <w:rPr>
          <w:rFonts w:ascii="Arial" w:hAnsi="Arial" w:cs="Arial"/>
          <w:sz w:val="20"/>
          <w:szCs w:val="20"/>
        </w:rPr>
        <w:t>, General Director and Secretary of the Company are</w:t>
      </w:r>
      <w:r w:rsidR="00461E4D">
        <w:rPr>
          <w:rFonts w:ascii="Arial" w:hAnsi="Arial" w:cs="Arial"/>
          <w:sz w:val="20"/>
          <w:szCs w:val="20"/>
        </w:rPr>
        <w:t xml:space="preserve"> paid at the end of each month</w:t>
      </w:r>
    </w:p>
    <w:p w:rsidR="00461E4D" w:rsidRDefault="00461E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7: Approving the statement on </w:t>
      </w:r>
      <w:r w:rsidR="00B1193E" w:rsidRPr="00B1193E">
        <w:rPr>
          <w:rFonts w:ascii="Arial" w:hAnsi="Arial" w:cs="Arial"/>
          <w:sz w:val="20"/>
          <w:szCs w:val="20"/>
        </w:rPr>
        <w:t xml:space="preserve">selection of </w:t>
      </w:r>
      <w:r>
        <w:rPr>
          <w:rFonts w:ascii="Arial" w:hAnsi="Arial" w:cs="Arial"/>
          <w:sz w:val="20"/>
          <w:szCs w:val="20"/>
        </w:rPr>
        <w:t>an auditing unit for</w:t>
      </w:r>
      <w:r w:rsidR="00B1193E" w:rsidRPr="00B1193E">
        <w:rPr>
          <w:rFonts w:ascii="Arial" w:hAnsi="Arial" w:cs="Arial"/>
          <w:sz w:val="20"/>
          <w:szCs w:val="20"/>
        </w:rPr>
        <w:t xml:space="preserve"> 2020 </w:t>
      </w:r>
    </w:p>
    <w:p w:rsidR="004F3097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The </w:t>
      </w:r>
      <w:r w:rsidR="00461E4D">
        <w:rPr>
          <w:rFonts w:ascii="Arial" w:hAnsi="Arial" w:cs="Arial"/>
          <w:sz w:val="20"/>
          <w:szCs w:val="20"/>
        </w:rPr>
        <w:t>annual General Meeting of Shareholders</w:t>
      </w:r>
      <w:r w:rsidRPr="00B1193E">
        <w:rPr>
          <w:rFonts w:ascii="Arial" w:hAnsi="Arial" w:cs="Arial"/>
          <w:sz w:val="20"/>
          <w:szCs w:val="20"/>
        </w:rPr>
        <w:t xml:space="preserve"> voted to appro</w:t>
      </w:r>
      <w:r w:rsidR="004F3097">
        <w:rPr>
          <w:rFonts w:ascii="Arial" w:hAnsi="Arial" w:cs="Arial"/>
          <w:sz w:val="20"/>
          <w:szCs w:val="20"/>
        </w:rPr>
        <w:t>ve the submission of the plan for</w:t>
      </w:r>
      <w:r w:rsidRPr="00B1193E">
        <w:rPr>
          <w:rFonts w:ascii="Arial" w:hAnsi="Arial" w:cs="Arial"/>
          <w:sz w:val="20"/>
          <w:szCs w:val="20"/>
        </w:rPr>
        <w:t xml:space="preserve"> select</w:t>
      </w:r>
      <w:r w:rsidR="004F3097">
        <w:rPr>
          <w:rFonts w:ascii="Arial" w:hAnsi="Arial" w:cs="Arial"/>
          <w:sz w:val="20"/>
          <w:szCs w:val="20"/>
        </w:rPr>
        <w:t>ing</w:t>
      </w:r>
      <w:r w:rsidRPr="00B1193E">
        <w:rPr>
          <w:rFonts w:ascii="Arial" w:hAnsi="Arial" w:cs="Arial"/>
          <w:sz w:val="20"/>
          <w:szCs w:val="20"/>
        </w:rPr>
        <w:t xml:space="preserve"> </w:t>
      </w:r>
      <w:r w:rsidR="004F3097">
        <w:rPr>
          <w:rFonts w:ascii="Arial" w:hAnsi="Arial" w:cs="Arial"/>
          <w:sz w:val="20"/>
          <w:szCs w:val="20"/>
        </w:rPr>
        <w:t>an auditing unit for</w:t>
      </w:r>
      <w:r w:rsidRPr="00B1193E">
        <w:rPr>
          <w:rFonts w:ascii="Arial" w:hAnsi="Arial" w:cs="Arial"/>
          <w:sz w:val="20"/>
          <w:szCs w:val="20"/>
        </w:rPr>
        <w:t xml:space="preserve"> 2020 together with the choice of Vietnam Pharmaceutical Corporation - JSC </w:t>
      </w:r>
    </w:p>
    <w:p w:rsidR="00E1216A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>Article 8. Electing members of the Board of Directors for the term of 2020</w:t>
      </w:r>
      <w:r w:rsidR="00E1216A">
        <w:rPr>
          <w:rFonts w:ascii="Arial" w:hAnsi="Arial" w:cs="Arial"/>
          <w:sz w:val="20"/>
          <w:szCs w:val="20"/>
        </w:rPr>
        <w:t xml:space="preserve"> </w:t>
      </w:r>
      <w:r w:rsidRPr="00B1193E">
        <w:rPr>
          <w:rFonts w:ascii="Arial" w:hAnsi="Arial" w:cs="Arial"/>
          <w:sz w:val="20"/>
          <w:szCs w:val="20"/>
        </w:rPr>
        <w:t>-</w:t>
      </w:r>
      <w:r w:rsidR="00E1216A">
        <w:rPr>
          <w:rFonts w:ascii="Arial" w:hAnsi="Arial" w:cs="Arial"/>
          <w:sz w:val="20"/>
          <w:szCs w:val="20"/>
        </w:rPr>
        <w:t xml:space="preserve"> </w:t>
      </w:r>
      <w:r w:rsidRPr="00B1193E">
        <w:rPr>
          <w:rFonts w:ascii="Arial" w:hAnsi="Arial" w:cs="Arial"/>
          <w:sz w:val="20"/>
          <w:szCs w:val="20"/>
        </w:rPr>
        <w:t xml:space="preserve">2025 </w:t>
      </w:r>
    </w:p>
    <w:p w:rsidR="00E1216A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The </w:t>
      </w:r>
      <w:r w:rsidR="00E1216A">
        <w:rPr>
          <w:rFonts w:ascii="Arial" w:hAnsi="Arial" w:cs="Arial"/>
          <w:sz w:val="20"/>
          <w:szCs w:val="20"/>
        </w:rPr>
        <w:t>annual General Meeting of Shareholders</w:t>
      </w:r>
      <w:r w:rsidRPr="00B1193E">
        <w:rPr>
          <w:rFonts w:ascii="Arial" w:hAnsi="Arial" w:cs="Arial"/>
          <w:sz w:val="20"/>
          <w:szCs w:val="20"/>
        </w:rPr>
        <w:t xml:space="preserve"> elected members of the Board of Directors for the term of 2020</w:t>
      </w:r>
      <w:r w:rsidR="00E1216A">
        <w:rPr>
          <w:rFonts w:ascii="Arial" w:hAnsi="Arial" w:cs="Arial"/>
          <w:sz w:val="20"/>
          <w:szCs w:val="20"/>
        </w:rPr>
        <w:t xml:space="preserve"> </w:t>
      </w:r>
      <w:r w:rsidRPr="00B1193E">
        <w:rPr>
          <w:rFonts w:ascii="Arial" w:hAnsi="Arial" w:cs="Arial"/>
          <w:sz w:val="20"/>
          <w:szCs w:val="20"/>
        </w:rPr>
        <w:t>-</w:t>
      </w:r>
      <w:r w:rsidR="00E1216A">
        <w:rPr>
          <w:rFonts w:ascii="Arial" w:hAnsi="Arial" w:cs="Arial"/>
          <w:sz w:val="20"/>
          <w:szCs w:val="20"/>
        </w:rPr>
        <w:t xml:space="preserve"> </w:t>
      </w:r>
      <w:r w:rsidRPr="00B1193E">
        <w:rPr>
          <w:rFonts w:ascii="Arial" w:hAnsi="Arial" w:cs="Arial"/>
          <w:sz w:val="20"/>
          <w:szCs w:val="20"/>
        </w:rPr>
        <w:t xml:space="preserve">2025 including the following members: </w:t>
      </w:r>
    </w:p>
    <w:p w:rsidR="00E1216A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1. Mr. Nguyen Van </w:t>
      </w:r>
      <w:proofErr w:type="spellStart"/>
      <w:r w:rsidRPr="00B1193E">
        <w:rPr>
          <w:rFonts w:ascii="Arial" w:hAnsi="Arial" w:cs="Arial"/>
          <w:sz w:val="20"/>
          <w:szCs w:val="20"/>
        </w:rPr>
        <w:t>Khai</w:t>
      </w:r>
      <w:proofErr w:type="spellEnd"/>
      <w:r w:rsidRPr="00B1193E">
        <w:rPr>
          <w:rFonts w:ascii="Arial" w:hAnsi="Arial" w:cs="Arial"/>
          <w:sz w:val="20"/>
          <w:szCs w:val="20"/>
        </w:rPr>
        <w:t xml:space="preserve"> </w:t>
      </w:r>
    </w:p>
    <w:p w:rsidR="00E1216A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2. Mr. Vu Tam </w:t>
      </w:r>
      <w:proofErr w:type="spellStart"/>
      <w:r w:rsidRPr="00B1193E">
        <w:rPr>
          <w:rFonts w:ascii="Arial" w:hAnsi="Arial" w:cs="Arial"/>
          <w:sz w:val="20"/>
          <w:szCs w:val="20"/>
        </w:rPr>
        <w:t>Khoi</w:t>
      </w:r>
      <w:proofErr w:type="spellEnd"/>
      <w:r w:rsidRPr="00B1193E">
        <w:rPr>
          <w:rFonts w:ascii="Arial" w:hAnsi="Arial" w:cs="Arial"/>
          <w:sz w:val="20"/>
          <w:szCs w:val="20"/>
        </w:rPr>
        <w:t xml:space="preserve"> </w:t>
      </w:r>
    </w:p>
    <w:p w:rsidR="00B1193E" w:rsidRDefault="00B1193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193E">
        <w:rPr>
          <w:rFonts w:ascii="Arial" w:hAnsi="Arial" w:cs="Arial"/>
          <w:sz w:val="20"/>
          <w:szCs w:val="20"/>
        </w:rPr>
        <w:t xml:space="preserve">3.  Mr. Truong </w:t>
      </w:r>
      <w:proofErr w:type="spellStart"/>
      <w:r w:rsidRPr="00B1193E">
        <w:rPr>
          <w:rFonts w:ascii="Arial" w:hAnsi="Arial" w:cs="Arial"/>
          <w:sz w:val="20"/>
          <w:szCs w:val="20"/>
        </w:rPr>
        <w:t>Thoai</w:t>
      </w:r>
      <w:proofErr w:type="spellEnd"/>
      <w:r w:rsidRPr="00B119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93E">
        <w:rPr>
          <w:rFonts w:ascii="Arial" w:hAnsi="Arial" w:cs="Arial"/>
          <w:sz w:val="20"/>
          <w:szCs w:val="20"/>
        </w:rPr>
        <w:t>Nhan</w:t>
      </w:r>
      <w:proofErr w:type="spellEnd"/>
    </w:p>
    <w:p w:rsidR="00E1216A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4. Mr. Nguyen </w:t>
      </w:r>
      <w:proofErr w:type="spellStart"/>
      <w:r w:rsidRPr="00E1216A">
        <w:rPr>
          <w:rFonts w:ascii="Arial" w:hAnsi="Arial" w:cs="Arial"/>
          <w:sz w:val="20"/>
          <w:szCs w:val="20"/>
        </w:rPr>
        <w:t>Huy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16A">
        <w:rPr>
          <w:rFonts w:ascii="Arial" w:hAnsi="Arial" w:cs="Arial"/>
          <w:sz w:val="20"/>
          <w:szCs w:val="20"/>
        </w:rPr>
        <w:t>Thanh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</w:t>
      </w:r>
    </w:p>
    <w:p w:rsidR="00E1216A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lastRenderedPageBreak/>
        <w:t xml:space="preserve">5. Mr. Tran </w:t>
      </w:r>
      <w:proofErr w:type="spellStart"/>
      <w:r w:rsidRPr="00E1216A">
        <w:rPr>
          <w:rFonts w:ascii="Arial" w:hAnsi="Arial" w:cs="Arial"/>
          <w:sz w:val="20"/>
          <w:szCs w:val="20"/>
        </w:rPr>
        <w:t>Anh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Tuan 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>Article 9. Electing members of the Board</w:t>
      </w:r>
      <w:r>
        <w:rPr>
          <w:rFonts w:ascii="Arial" w:hAnsi="Arial" w:cs="Arial"/>
          <w:sz w:val="20"/>
          <w:szCs w:val="20"/>
        </w:rPr>
        <w:t xml:space="preserve"> of Supervisors</w:t>
      </w:r>
      <w:r w:rsidRPr="00E1216A">
        <w:rPr>
          <w:rFonts w:ascii="Arial" w:hAnsi="Arial" w:cs="Arial"/>
          <w:sz w:val="20"/>
          <w:szCs w:val="20"/>
        </w:rPr>
        <w:t xml:space="preserve"> for the term 2020-2025 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The </w:t>
      </w:r>
      <w:r w:rsidR="00A87950">
        <w:rPr>
          <w:rFonts w:ascii="Arial" w:hAnsi="Arial" w:cs="Arial"/>
          <w:sz w:val="20"/>
          <w:szCs w:val="20"/>
        </w:rPr>
        <w:t xml:space="preserve">annual General Meeting of Shareholders </w:t>
      </w:r>
      <w:r w:rsidRPr="00E1216A">
        <w:rPr>
          <w:rFonts w:ascii="Arial" w:hAnsi="Arial" w:cs="Arial"/>
          <w:sz w:val="20"/>
          <w:szCs w:val="20"/>
        </w:rPr>
        <w:t xml:space="preserve">elected members of the </w:t>
      </w:r>
      <w:r w:rsidR="00A87950" w:rsidRPr="00E1216A">
        <w:rPr>
          <w:rFonts w:ascii="Arial" w:hAnsi="Arial" w:cs="Arial"/>
          <w:sz w:val="20"/>
          <w:szCs w:val="20"/>
        </w:rPr>
        <w:t>Board</w:t>
      </w:r>
      <w:r w:rsidR="00A87950">
        <w:rPr>
          <w:rFonts w:ascii="Arial" w:hAnsi="Arial" w:cs="Arial"/>
          <w:sz w:val="20"/>
          <w:szCs w:val="20"/>
        </w:rPr>
        <w:t xml:space="preserve"> of Supervisors</w:t>
      </w:r>
      <w:r w:rsidR="00A87950" w:rsidRPr="00E1216A">
        <w:rPr>
          <w:rFonts w:ascii="Arial" w:hAnsi="Arial" w:cs="Arial"/>
          <w:sz w:val="20"/>
          <w:szCs w:val="20"/>
        </w:rPr>
        <w:t xml:space="preserve"> </w:t>
      </w:r>
      <w:r w:rsidRPr="00E1216A">
        <w:rPr>
          <w:rFonts w:ascii="Arial" w:hAnsi="Arial" w:cs="Arial"/>
          <w:sz w:val="20"/>
          <w:szCs w:val="20"/>
        </w:rPr>
        <w:t xml:space="preserve">for the term 2020-2025 including the following members: 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1. Ms. </w:t>
      </w:r>
      <w:proofErr w:type="gramStart"/>
      <w:r w:rsidRPr="00E1216A">
        <w:rPr>
          <w:rFonts w:ascii="Arial" w:hAnsi="Arial" w:cs="Arial"/>
          <w:sz w:val="20"/>
          <w:szCs w:val="20"/>
        </w:rPr>
        <w:t xml:space="preserve">Ha  </w:t>
      </w:r>
      <w:proofErr w:type="spellStart"/>
      <w:r w:rsidRPr="00E1216A">
        <w:rPr>
          <w:rFonts w:ascii="Arial" w:hAnsi="Arial" w:cs="Arial"/>
          <w:sz w:val="20"/>
          <w:szCs w:val="20"/>
        </w:rPr>
        <w:t>Lan</w:t>
      </w:r>
      <w:proofErr w:type="spellEnd"/>
      <w:proofErr w:type="gramEnd"/>
      <w:r w:rsidRPr="00E121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216A">
        <w:rPr>
          <w:rFonts w:ascii="Arial" w:hAnsi="Arial" w:cs="Arial"/>
          <w:sz w:val="20"/>
          <w:szCs w:val="20"/>
        </w:rPr>
        <w:t>Anh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2. Ms. Ngo </w:t>
      </w:r>
      <w:proofErr w:type="spellStart"/>
      <w:r w:rsidRPr="00E1216A">
        <w:rPr>
          <w:rFonts w:ascii="Arial" w:hAnsi="Arial" w:cs="Arial"/>
          <w:sz w:val="20"/>
          <w:szCs w:val="20"/>
        </w:rPr>
        <w:t>Thi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Thu </w:t>
      </w:r>
      <w:proofErr w:type="spellStart"/>
      <w:r w:rsidRPr="00E1216A">
        <w:rPr>
          <w:rFonts w:ascii="Arial" w:hAnsi="Arial" w:cs="Arial"/>
          <w:sz w:val="20"/>
          <w:szCs w:val="20"/>
        </w:rPr>
        <w:t>Hien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3. Ms. Tran </w:t>
      </w:r>
      <w:proofErr w:type="spellStart"/>
      <w:r w:rsidRPr="00E1216A">
        <w:rPr>
          <w:rFonts w:ascii="Arial" w:hAnsi="Arial" w:cs="Arial"/>
          <w:sz w:val="20"/>
          <w:szCs w:val="20"/>
        </w:rPr>
        <w:t>Thi</w:t>
      </w:r>
      <w:proofErr w:type="spellEnd"/>
      <w:r w:rsidRPr="00E1216A">
        <w:rPr>
          <w:rFonts w:ascii="Arial" w:hAnsi="Arial" w:cs="Arial"/>
          <w:sz w:val="20"/>
          <w:szCs w:val="20"/>
        </w:rPr>
        <w:t xml:space="preserve"> Minh</w:t>
      </w:r>
    </w:p>
    <w:p w:rsidR="00A87950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Article 10. Implementation provisions </w:t>
      </w:r>
    </w:p>
    <w:p w:rsidR="00444F4D" w:rsidRDefault="00E121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216A">
        <w:rPr>
          <w:rFonts w:ascii="Arial" w:hAnsi="Arial" w:cs="Arial"/>
          <w:sz w:val="20"/>
          <w:szCs w:val="20"/>
        </w:rPr>
        <w:t xml:space="preserve">This </w:t>
      </w:r>
      <w:r w:rsidR="00A87950">
        <w:rPr>
          <w:rFonts w:ascii="Arial" w:hAnsi="Arial" w:cs="Arial"/>
          <w:sz w:val="20"/>
          <w:szCs w:val="20"/>
        </w:rPr>
        <w:t>annual General Mandate</w:t>
      </w:r>
      <w:r w:rsidRPr="00E1216A">
        <w:rPr>
          <w:rFonts w:ascii="Arial" w:hAnsi="Arial" w:cs="Arial"/>
          <w:sz w:val="20"/>
          <w:szCs w:val="20"/>
        </w:rPr>
        <w:t xml:space="preserve"> was passed before the Annual General Meeting of Shareholders of </w:t>
      </w:r>
      <w:r w:rsidR="00A87950">
        <w:rPr>
          <w:rFonts w:ascii="Arial" w:hAnsi="Arial" w:cs="Arial"/>
          <w:sz w:val="20"/>
          <w:szCs w:val="20"/>
        </w:rPr>
        <w:t xml:space="preserve">2020 of </w:t>
      </w:r>
      <w:r w:rsidR="00444F4D" w:rsidRPr="00444F4D">
        <w:rPr>
          <w:rFonts w:ascii="Arial" w:hAnsi="Arial" w:cs="Arial"/>
          <w:sz w:val="20"/>
          <w:szCs w:val="20"/>
        </w:rPr>
        <w:t>Central Pharmaceutical JSC No.3</w:t>
      </w:r>
      <w:r w:rsidR="00444F4D">
        <w:rPr>
          <w:rFonts w:ascii="Arial" w:hAnsi="Arial" w:cs="Arial"/>
          <w:sz w:val="20"/>
          <w:szCs w:val="20"/>
        </w:rPr>
        <w:t xml:space="preserve"> on 01 Jun 2020</w:t>
      </w:r>
    </w:p>
    <w:p w:rsidR="001F031F" w:rsidRDefault="00444F4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1216A" w:rsidRPr="00E1216A"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sz w:val="20"/>
          <w:szCs w:val="20"/>
        </w:rPr>
        <w:t>annual General Mandate</w:t>
      </w:r>
      <w:r w:rsidR="00E1216A" w:rsidRPr="00E1216A">
        <w:rPr>
          <w:rFonts w:ascii="Arial" w:hAnsi="Arial" w:cs="Arial"/>
          <w:sz w:val="20"/>
          <w:szCs w:val="20"/>
        </w:rPr>
        <w:t xml:space="preserve"> takes </w:t>
      </w:r>
      <w:r>
        <w:rPr>
          <w:rFonts w:ascii="Arial" w:hAnsi="Arial" w:cs="Arial"/>
          <w:sz w:val="20"/>
          <w:szCs w:val="20"/>
        </w:rPr>
        <w:t xml:space="preserve">effect from the date of signing, 01 Jun 2020 </w:t>
      </w:r>
      <w:r w:rsidR="00E1216A" w:rsidRPr="00E1216A">
        <w:rPr>
          <w:rFonts w:ascii="Arial" w:hAnsi="Arial" w:cs="Arial"/>
          <w:sz w:val="20"/>
          <w:szCs w:val="20"/>
        </w:rPr>
        <w:t xml:space="preserve">after being approved 100% by </w:t>
      </w:r>
      <w:r>
        <w:rPr>
          <w:rFonts w:ascii="Arial" w:hAnsi="Arial" w:cs="Arial"/>
          <w:sz w:val="20"/>
          <w:szCs w:val="20"/>
        </w:rPr>
        <w:t>the annual General Meeting of Shareholders. The</w:t>
      </w:r>
      <w:r w:rsidR="00E1216A" w:rsidRPr="00E1216A">
        <w:rPr>
          <w:rFonts w:ascii="Arial" w:hAnsi="Arial" w:cs="Arial"/>
          <w:sz w:val="20"/>
          <w:szCs w:val="20"/>
        </w:rPr>
        <w:t xml:space="preserve"> Board of Directors, </w:t>
      </w:r>
      <w:r>
        <w:rPr>
          <w:rFonts w:ascii="Arial" w:hAnsi="Arial" w:cs="Arial"/>
          <w:sz w:val="20"/>
          <w:szCs w:val="20"/>
        </w:rPr>
        <w:t>Management Board</w:t>
      </w:r>
      <w:r w:rsidR="00E1216A" w:rsidRPr="00E1216A">
        <w:rPr>
          <w:rFonts w:ascii="Arial" w:hAnsi="Arial" w:cs="Arial"/>
          <w:sz w:val="20"/>
          <w:szCs w:val="20"/>
        </w:rPr>
        <w:t xml:space="preserve">, Board of Supervisors and all shareholders implement this </w:t>
      </w:r>
      <w:r>
        <w:rPr>
          <w:rFonts w:ascii="Arial" w:hAnsi="Arial" w:cs="Arial"/>
          <w:sz w:val="20"/>
          <w:szCs w:val="20"/>
        </w:rPr>
        <w:t>annual General Mandate</w:t>
      </w:r>
      <w:r w:rsidR="00E1216A" w:rsidRPr="00E1216A">
        <w:rPr>
          <w:rFonts w:ascii="Arial" w:hAnsi="Arial" w:cs="Arial"/>
          <w:sz w:val="20"/>
          <w:szCs w:val="20"/>
        </w:rPr>
        <w:t xml:space="preserve"> according to </w:t>
      </w:r>
      <w:r w:rsidR="00D672E0">
        <w:rPr>
          <w:rFonts w:ascii="Arial" w:hAnsi="Arial" w:cs="Arial"/>
          <w:sz w:val="20"/>
          <w:szCs w:val="20"/>
        </w:rPr>
        <w:t>their</w:t>
      </w:r>
      <w:r w:rsidR="00E1216A" w:rsidRPr="00E1216A">
        <w:rPr>
          <w:rFonts w:ascii="Arial" w:hAnsi="Arial" w:cs="Arial"/>
          <w:sz w:val="20"/>
          <w:szCs w:val="20"/>
        </w:rPr>
        <w:t xml:space="preserve"> competence, functions and duties in accordance with the provisions of law and the Charter of </w:t>
      </w:r>
      <w:r w:rsidR="00D672E0" w:rsidRPr="00D672E0">
        <w:rPr>
          <w:rFonts w:ascii="Arial" w:hAnsi="Arial" w:cs="Arial"/>
          <w:sz w:val="20"/>
          <w:szCs w:val="20"/>
        </w:rPr>
        <w:t>Central Pharmaceutical JSC No.3</w:t>
      </w:r>
      <w:bookmarkStart w:id="0" w:name="_GoBack"/>
      <w:bookmarkEnd w:id="0"/>
    </w:p>
    <w:sectPr w:rsidR="001F0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31F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06A8"/>
    <w:rsid w:val="00213694"/>
    <w:rsid w:val="0021553D"/>
    <w:rsid w:val="002164D2"/>
    <w:rsid w:val="00230BF1"/>
    <w:rsid w:val="002319EE"/>
    <w:rsid w:val="002357C4"/>
    <w:rsid w:val="00242FC6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2A5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178DE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17AA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4F4D"/>
    <w:rsid w:val="004530A7"/>
    <w:rsid w:val="00453C9C"/>
    <w:rsid w:val="00456307"/>
    <w:rsid w:val="00461E4D"/>
    <w:rsid w:val="00467BC0"/>
    <w:rsid w:val="0047038B"/>
    <w:rsid w:val="00470844"/>
    <w:rsid w:val="00471390"/>
    <w:rsid w:val="00484CD5"/>
    <w:rsid w:val="00490B2B"/>
    <w:rsid w:val="00494DFC"/>
    <w:rsid w:val="00496733"/>
    <w:rsid w:val="004A3355"/>
    <w:rsid w:val="004A5289"/>
    <w:rsid w:val="004A554D"/>
    <w:rsid w:val="004B2BA6"/>
    <w:rsid w:val="004B4798"/>
    <w:rsid w:val="004C144F"/>
    <w:rsid w:val="004E4C16"/>
    <w:rsid w:val="004F3097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67F3C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24B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4D15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2B1D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C28F2"/>
    <w:rsid w:val="009C2E6C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50631"/>
    <w:rsid w:val="00A544CF"/>
    <w:rsid w:val="00A61FAF"/>
    <w:rsid w:val="00A63B6C"/>
    <w:rsid w:val="00A754EB"/>
    <w:rsid w:val="00A87950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BC2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193E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83A97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7313A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672E0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96E4B"/>
    <w:rsid w:val="00DA199B"/>
    <w:rsid w:val="00DA3531"/>
    <w:rsid w:val="00DA54D0"/>
    <w:rsid w:val="00DB2C71"/>
    <w:rsid w:val="00DB5EDC"/>
    <w:rsid w:val="00DD1205"/>
    <w:rsid w:val="00DD263A"/>
    <w:rsid w:val="00DD47E8"/>
    <w:rsid w:val="00DE5C3C"/>
    <w:rsid w:val="00DE63F0"/>
    <w:rsid w:val="00DF4180"/>
    <w:rsid w:val="00DF739B"/>
    <w:rsid w:val="00E1216A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A7894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316</cp:revision>
  <dcterms:created xsi:type="dcterms:W3CDTF">2019-10-16T10:03:00Z</dcterms:created>
  <dcterms:modified xsi:type="dcterms:W3CDTF">2020-06-04T03:22:00Z</dcterms:modified>
</cp:coreProperties>
</file>